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6" w:name="tribunal-judicial-de-lisboa"/>
    <w:p>
      <w:pPr>
        <w:pStyle w:val="Heading2"/>
      </w:pPr>
      <w:r>
        <w:t xml:space="preserve">Tribunal Judicial de Lisboa</w:t>
      </w:r>
    </w:p>
    <w:bookmarkStart w:id="9" w:name="juízo-de-instrução-criminal-nº-4"/>
    <w:p>
      <w:pPr>
        <w:pStyle w:val="Heading3"/>
      </w:pPr>
      <w:r>
        <w:t xml:space="preserve">Juízo de Instrução Criminal nº 4</w:t>
      </w:r>
    </w:p>
    <w:p>
      <w:pPr>
        <w:pStyle w:val="FirstParagraph"/>
      </w:pPr>
      <w:r>
        <w:rPr>
          <w:b/>
          <w:bCs/>
        </w:rPr>
        <w:t xml:space="preserve">Processo Penal n.º 2023/0456</w:t>
      </w:r>
      <w:r>
        <w:t xml:space="preserve"> </w:t>
      </w:r>
      <w:r>
        <w:t xml:space="preserve">– Burla Informática por Phishing – Transferências Fraudulentas de €32 000</w:t>
      </w:r>
    </w:p>
    <w:p>
      <w:pPr>
        <w:pStyle w:val="BodyText"/>
      </w:pPr>
      <w:r>
        <w:rPr>
          <w:b/>
          <w:bCs/>
        </w:rPr>
        <w:t xml:space="preserve">Autor/Requerente:</w:t>
      </w:r>
      <w:r>
        <w:t xml:space="preserve"> </w:t>
      </w:r>
      <w:r>
        <w:t xml:space="preserve">Ministério Público</w:t>
      </w:r>
      <w:r>
        <w:br/>
      </w:r>
      <w:r>
        <w:rPr>
          <w:b/>
          <w:bCs/>
        </w:rPr>
        <w:t xml:space="preserve">Réu/Requerido:</w:t>
      </w:r>
      <w:r>
        <w:t xml:space="preserve"> </w:t>
      </w:r>
      <w:r>
        <w:t xml:space="preserve">João da Silva, residente em Rua da Prata, 45‑2.º Dto., 1150‑262 Lisboa, NIF 123 456 789</w:t>
      </w:r>
    </w:p>
    <w:p>
      <w:pPr>
        <w:pStyle w:val="BodyText"/>
      </w:pPr>
      <w:r>
        <w:rPr>
          <w:b/>
          <w:bCs/>
        </w:rPr>
        <w:t xml:space="preserve">Mandatários da Defesa:</w:t>
      </w:r>
      <w:r>
        <w:br/>
      </w:r>
      <w:r>
        <w:t xml:space="preserve">-</w:t>
      </w:r>
      <w:r>
        <w:t xml:space="preserve"> </w:t>
      </w:r>
      <w:r>
        <w:rPr>
          <w:b/>
          <w:bCs/>
        </w:rPr>
        <w:t xml:space="preserve">Dr.ª Ana Pereira</w:t>
      </w:r>
      <w:r>
        <w:t xml:space="preserve">, OAB 12345, advogada, com escritório na Av. da República, 45, 1050‑190 Lisboa, NIF 987 654 321;</w:t>
      </w:r>
      <w:r>
        <w:br/>
      </w:r>
      <w:r>
        <w:t xml:space="preserve">-</w:t>
      </w:r>
      <w:r>
        <w:t xml:space="preserve"> </w:t>
      </w:r>
      <w:r>
        <w:rPr>
          <w:b/>
          <w:bCs/>
        </w:rPr>
        <w:t xml:space="preserve">Dr. Luís Carvalho</w:t>
      </w:r>
      <w:r>
        <w:t xml:space="preserve">, OAB 67890, advogado, com escritório na Rua de São Bento, 120, 1200‑821 Lisboa, NIF 112 233 445.</w:t>
      </w:r>
    </w:p>
    <w:p>
      <w:pPr>
        <w:pStyle w:val="BodyText"/>
      </w:pPr>
      <w:r>
        <w:t xml:space="preserve">Lisboa, 15 de fevereiro de 2026</w:t>
      </w:r>
    </w:p>
    <w:p>
      <w:r>
        <w:pict>
          <v:rect style="width:0;height:1.5pt" o:hralign="center" o:hrstd="t" o:hr="t"/>
        </w:pict>
      </w:r>
    </w:p>
    <w:bookmarkEnd w:id="9"/>
    <w:bookmarkStart w:id="15" w:name="pedido-de-levantamento-de-penhora"/>
    <w:p>
      <w:pPr>
        <w:pStyle w:val="Heading3"/>
      </w:pPr>
      <w:r>
        <w:rPr>
          <w:b/>
          <w:bCs/>
        </w:rPr>
        <w:t xml:space="preserve">PEDIDO DE LEVANTAMENTO DE PENHORA</w:t>
      </w:r>
    </w:p>
    <w:p>
      <w:pPr>
        <w:pStyle w:val="FirstParagraph"/>
      </w:pPr>
      <w:r>
        <w:rPr>
          <w:b/>
          <w:bCs/>
        </w:rPr>
        <w:t xml:space="preserve">Ex.mo Sr. Juiz de Instrução Criminal nº 4,</w:t>
      </w:r>
    </w:p>
    <w:p>
      <w:pPr>
        <w:pStyle w:val="BodyText"/>
      </w:pPr>
      <w:r>
        <w:t xml:space="preserve">Nos termos do disposto nos artigos 721.º e seguintes do</w:t>
      </w:r>
      <w:r>
        <w:t xml:space="preserve"> </w:t>
      </w:r>
      <w:r>
        <w:rPr>
          <w:b/>
          <w:bCs/>
        </w:rPr>
        <w:t xml:space="preserve">Código de Processo Civil</w:t>
      </w:r>
      <w:r>
        <w:t xml:space="preserve"> </w:t>
      </w:r>
      <w:r>
        <w:t xml:space="preserve">(CPC), bem como do artigo 217.º do</w:t>
      </w:r>
      <w:r>
        <w:t xml:space="preserve"> </w:t>
      </w:r>
      <w:r>
        <w:rPr>
          <w:b/>
          <w:bCs/>
        </w:rPr>
        <w:t xml:space="preserve">Código Penal</w:t>
      </w:r>
      <w:r>
        <w:t xml:space="preserve">, vem a defesa do réu,</w:t>
      </w:r>
      <w:r>
        <w:t xml:space="preserve"> </w:t>
      </w:r>
      <w:r>
        <w:rPr>
          <w:b/>
          <w:bCs/>
        </w:rPr>
        <w:t xml:space="preserve">João da Silva</w:t>
      </w:r>
      <w:r>
        <w:t xml:space="preserve">, por intermédio dos seus mandatários supra‑identificados, requerer a</w:t>
      </w:r>
      <w:r>
        <w:t xml:space="preserve"> </w:t>
      </w:r>
      <w:r>
        <w:rPr>
          <w:b/>
          <w:bCs/>
        </w:rPr>
        <w:t xml:space="preserve">suspensão e levantamento da penhora</w:t>
      </w:r>
      <w:r>
        <w:t xml:space="preserve"> </w:t>
      </w:r>
      <w:r>
        <w:t xml:space="preserve">atualmente decretada sobre os bens do réu, nos termos que se seguem.</w:t>
      </w:r>
    </w:p>
    <w:p>
      <w:r>
        <w:pict>
          <v:rect style="width:0;height:1.5pt" o:hralign="center" o:hrstd="t" o:hr="t"/>
        </w:pict>
      </w:r>
    </w:p>
    <w:bookmarkStart w:id="10" w:name="fatos-relevantes"/>
    <w:p>
      <w:pPr>
        <w:pStyle w:val="Heading4"/>
      </w:pPr>
      <w:r>
        <w:t xml:space="preserve">1.</w:t>
      </w:r>
      <w:r>
        <w:t xml:space="preserve"> </w:t>
      </w:r>
      <w:r>
        <w:rPr>
          <w:b/>
          <w:bCs/>
        </w:rPr>
        <w:t xml:space="preserve">Fatos Relevantes</w:t>
      </w:r>
    </w:p>
    <w:p>
      <w:pPr>
        <w:pStyle w:val="FirstParagraph"/>
      </w:pPr>
      <w:r>
        <w:t xml:space="preserve">1.1. Em</w:t>
      </w:r>
      <w:r>
        <w:t xml:space="preserve"> </w:t>
      </w:r>
      <w:r>
        <w:rPr>
          <w:b/>
          <w:bCs/>
        </w:rPr>
        <w:t xml:space="preserve">10 de março de 2023</w:t>
      </w:r>
      <w:r>
        <w:t xml:space="preserve"> </w:t>
      </w:r>
      <w:r>
        <w:t xml:space="preserve">e</w:t>
      </w:r>
      <w:r>
        <w:t xml:space="preserve"> </w:t>
      </w:r>
      <w:r>
        <w:rPr>
          <w:b/>
          <w:bCs/>
        </w:rPr>
        <w:t xml:space="preserve">25 de março de 2023</w:t>
      </w:r>
      <w:r>
        <w:t xml:space="preserve">, foram efetuadas, por meio de e‑mails fraudulentos (phishing), transferências bancárias no valor total de</w:t>
      </w:r>
      <w:r>
        <w:t xml:space="preserve"> </w:t>
      </w:r>
      <w:r>
        <w:rPr>
          <w:b/>
          <w:bCs/>
        </w:rPr>
        <w:t xml:space="preserve">€32 000</w:t>
      </w:r>
      <w:r>
        <w:t xml:space="preserve">, oriundas da conta corrente da Sra. Maria Fernandes (NIB PT50 0002 0003 0004 0005 6008 123).</w:t>
      </w:r>
    </w:p>
    <w:p>
      <w:pPr>
        <w:pStyle w:val="BodyText"/>
      </w:pPr>
      <w:r>
        <w:t xml:space="preserve">1.2. Em</w:t>
      </w:r>
      <w:r>
        <w:t xml:space="preserve"> </w:t>
      </w:r>
      <w:r>
        <w:rPr>
          <w:b/>
          <w:bCs/>
        </w:rPr>
        <w:t xml:space="preserve">30 de março de 2023</w:t>
      </w:r>
      <w:r>
        <w:t xml:space="preserve">, a Autoridade Judicial decretou a</w:t>
      </w:r>
      <w:r>
        <w:t xml:space="preserve"> </w:t>
      </w:r>
      <w:r>
        <w:rPr>
          <w:b/>
          <w:bCs/>
        </w:rPr>
        <w:t xml:space="preserve">penhora</w:t>
      </w:r>
      <w:r>
        <w:t xml:space="preserve"> </w:t>
      </w:r>
      <w:r>
        <w:t xml:space="preserve">sobre os seguintes bens do réu, a fim de garantir a execução da eventual sentença condenatória: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87"/>
        <w:gridCol w:w="2121"/>
        <w:gridCol w:w="3111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Bem Penhorado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Descrição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Valor Aproximado</w:t>
            </w:r>
          </w:p>
        </w:tc>
      </w:tr>
      <w:tr>
        <w:tc>
          <w:tcPr/>
          <w:p>
            <w:pPr>
              <w:pStyle w:val="Compact"/>
            </w:pPr>
            <w:r>
              <w:t xml:space="preserve">Conta bancária</w:t>
            </w:r>
          </w:p>
        </w:tc>
        <w:tc>
          <w:tcPr/>
          <w:p>
            <w:pPr>
              <w:pStyle w:val="Compact"/>
            </w:pPr>
            <w:r>
              <w:t xml:space="preserve">Conta corrente n.º PT50 1234 5678 9012 3456 7890 123, Banco X</w:t>
            </w:r>
          </w:p>
        </w:tc>
        <w:tc>
          <w:tcPr/>
          <w:p>
            <w:pPr>
              <w:pStyle w:val="Compact"/>
            </w:pPr>
            <w:r>
              <w:t xml:space="preserve">€5 000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Veículo</w:t>
            </w:r>
          </w:p>
        </w:tc>
        <w:tc>
          <w:tcPr/>
          <w:p>
            <w:pPr>
              <w:pStyle w:val="Compact"/>
            </w:pPr>
            <w:r>
              <w:t xml:space="preserve">Automóvel marca</w:t>
            </w:r>
            <w:r>
              <w:t xml:space="preserve"> </w:t>
            </w:r>
            <w:r>
              <w:rPr>
                <w:b/>
                <w:bCs/>
              </w:rPr>
              <w:t xml:space="preserve">Toyota</w:t>
            </w:r>
            <w:r>
              <w:t xml:space="preserve">, modelo</w:t>
            </w:r>
            <w:r>
              <w:t xml:space="preserve"> </w:t>
            </w:r>
            <w:r>
              <w:rPr>
                <w:b/>
                <w:bCs/>
              </w:rPr>
              <w:t xml:space="preserve">Yaris</w:t>
            </w:r>
            <w:r>
              <w:t xml:space="preserve">, matrícula</w:t>
            </w:r>
            <w:r>
              <w:t xml:space="preserve"> </w:t>
            </w:r>
            <w:r>
              <w:rPr>
                <w:b/>
                <w:bCs/>
              </w:rPr>
              <w:t xml:space="preserve">45‑AA‑12</w:t>
            </w:r>
            <w:r>
              <w:t xml:space="preserve">, ano 2018</w:t>
            </w:r>
          </w:p>
        </w:tc>
        <w:tc>
          <w:tcPr/>
          <w:p>
            <w:pPr>
              <w:pStyle w:val="Compact"/>
            </w:pPr>
            <w:r>
              <w:t xml:space="preserve">€12 000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Imóvel</w:t>
            </w:r>
          </w:p>
        </w:tc>
        <w:tc>
          <w:tcPr/>
          <w:p>
            <w:pPr>
              <w:pStyle w:val="Compact"/>
            </w:pPr>
            <w:r>
              <w:t xml:space="preserve">Fração autónoma nº 2, 2.º andar, Rua da Prata, 45, 1150‑262 Lisboa</w:t>
            </w:r>
          </w:p>
        </w:tc>
        <w:tc>
          <w:tcPr/>
          <w:p>
            <w:pPr>
              <w:pStyle w:val="Compact"/>
            </w:pPr>
            <w:r>
              <w:t xml:space="preserve">€150 000</w:t>
            </w:r>
          </w:p>
        </w:tc>
      </w:tr>
    </w:tbl>
    <w:p>
      <w:pPr>
        <w:pStyle w:val="BodyText"/>
      </w:pPr>
      <w:r>
        <w:t xml:space="preserve">1.3. A penhora foi efetivada antes da conclusão da fase de instrução, ainda que o réu se encontre em</w:t>
      </w:r>
      <w:r>
        <w:t xml:space="preserve"> </w:t>
      </w:r>
      <w:r>
        <w:rPr>
          <w:b/>
          <w:bCs/>
        </w:rPr>
        <w:t xml:space="preserve">presunção de inocência</w:t>
      </w:r>
      <w:r>
        <w:t xml:space="preserve"> </w:t>
      </w:r>
      <w:r>
        <w:t xml:space="preserve">e que a prova da sua participação nos factos imputados ainda não foi definitivamente apreciada.</w:t>
      </w:r>
    </w:p>
    <w:p>
      <w:r>
        <w:pict>
          <v:rect style="width:0;height:1.5pt" o:hralign="center" o:hrstd="t" o:hr="t"/>
        </w:pict>
      </w:r>
    </w:p>
    <w:bookmarkEnd w:id="10"/>
    <w:bookmarkStart w:id="11" w:name="fundamentação-jurídica-do-pedido"/>
    <w:p>
      <w:pPr>
        <w:pStyle w:val="Heading4"/>
      </w:pPr>
      <w:r>
        <w:t xml:space="preserve">2.</w:t>
      </w:r>
      <w:r>
        <w:t xml:space="preserve"> </w:t>
      </w:r>
      <w:r>
        <w:rPr>
          <w:b/>
          <w:bCs/>
        </w:rPr>
        <w:t xml:space="preserve">Fundamentação Jurídica do Pedido</w:t>
      </w:r>
    </w:p>
    <w:p>
      <w:pPr>
        <w:pStyle w:val="FirstParagraph"/>
      </w:pPr>
      <w:r>
        <w:t xml:space="preserve">2.1.</w:t>
      </w:r>
      <w:r>
        <w:t xml:space="preserve"> </w:t>
      </w:r>
      <w:r>
        <w:rPr>
          <w:b/>
          <w:bCs/>
        </w:rPr>
        <w:t xml:space="preserve">Princípio da Presunção de Inocência</w:t>
      </w:r>
      <w:r>
        <w:t xml:space="preserve"> </w:t>
      </w:r>
      <w:r>
        <w:t xml:space="preserve">– Artigo 32.º da Constituição da República Portuguesa, consagrado no ordenamento jurídico penal, impõe que a restrição de bens do réu antes de sentença condenatória definitiva deve ser excepcional e justificada por risco concreto de dissipação de ativos.</w:t>
      </w:r>
    </w:p>
    <w:p>
      <w:pPr>
        <w:pStyle w:val="BodyText"/>
      </w:pPr>
      <w:r>
        <w:t xml:space="preserve">2.2.</w:t>
      </w:r>
      <w:r>
        <w:t xml:space="preserve"> </w:t>
      </w:r>
      <w:r>
        <w:rPr>
          <w:b/>
          <w:bCs/>
        </w:rPr>
        <w:t xml:space="preserve">Garantia da Defesa</w:t>
      </w:r>
      <w:r>
        <w:t xml:space="preserve"> </w:t>
      </w:r>
      <w:r>
        <w:t xml:space="preserve">– O artigo 31.º da Constituição assegura o direito de defesa plena, o que inclui a possibilidade de o réu manter a disponibilidade dos seus bens para subsistir e exercer a sua defesa.</w:t>
      </w:r>
    </w:p>
    <w:p>
      <w:pPr>
        <w:pStyle w:val="BodyText"/>
      </w:pPr>
      <w:r>
        <w:t xml:space="preserve">2.3.</w:t>
      </w:r>
      <w:r>
        <w:t xml:space="preserve"> </w:t>
      </w:r>
      <w:r>
        <w:rPr>
          <w:b/>
          <w:bCs/>
        </w:rPr>
        <w:t xml:space="preserve">Artigos 721.º e 722.º do CPC</w:t>
      </w:r>
      <w:r>
        <w:t xml:space="preserve"> </w:t>
      </w:r>
      <w:r>
        <w:t xml:space="preserve">– Permitem o levantamento da penhora quando inexistir risco de fraude ou de ineficácia da execução, ou ainda quando a medida se mostre desproporcional face à situação económica do devedor.</w:t>
      </w:r>
    </w:p>
    <w:p>
      <w:pPr>
        <w:pStyle w:val="BodyText"/>
      </w:pPr>
      <w:r>
        <w:t xml:space="preserve">2.4.</w:t>
      </w:r>
      <w:r>
        <w:t xml:space="preserve"> </w:t>
      </w:r>
      <w:r>
        <w:rPr>
          <w:b/>
          <w:bCs/>
        </w:rPr>
        <w:t xml:space="preserve">Desproporcionalidade da Penhora</w:t>
      </w:r>
      <w:r>
        <w:t xml:space="preserve"> </w:t>
      </w:r>
      <w:r>
        <w:t xml:space="preserve">– O valor total dos bens penhorados (</w:t>
      </w:r>
      <w:r>
        <w:rPr>
          <w:b/>
          <w:bCs/>
        </w:rPr>
        <w:t xml:space="preserve">≈ €167 000</w:t>
      </w:r>
      <w:r>
        <w:t xml:space="preserve">) ultrapassa em mais de cinco vezes o montante supostamente lesado (</w:t>
      </w:r>
      <w:r>
        <w:rPr>
          <w:b/>
          <w:bCs/>
        </w:rPr>
        <w:t xml:space="preserve">€32 000</w:t>
      </w:r>
      <w:r>
        <w:t xml:space="preserve">), configurando medida excessivamente gravosa e contrária ao princípio da proporcionalidade (artigo 4.º da Lei nº 8/2008, de 12 de Fevereiro, da Execução Fiscal).</w:t>
      </w:r>
    </w:p>
    <w:p>
      <w:pPr>
        <w:pStyle w:val="BodyText"/>
      </w:pPr>
      <w:r>
        <w:t xml:space="preserve">2.5.</w:t>
      </w:r>
      <w:r>
        <w:t xml:space="preserve"> </w:t>
      </w:r>
      <w:r>
        <w:rPr>
          <w:b/>
          <w:bCs/>
        </w:rPr>
        <w:t xml:space="preserve">Inexistência de Risco de Dilapidação</w:t>
      </w:r>
      <w:r>
        <w:t xml:space="preserve"> </w:t>
      </w:r>
      <w:r>
        <w:t xml:space="preserve">– O réu tem apresentado, em sede de contestação, extratos bancários e declarações de rendimentos que demonstram a inexistência de ativos ocultos ou de intenção de ocultar património. Não foram identificados indícios de tentativa de fuga de bens.</w:t>
      </w:r>
    </w:p>
    <w:p>
      <w:pPr>
        <w:pStyle w:val="BodyText"/>
      </w:pPr>
      <w:r>
        <w:t xml:space="preserve">2.6.</w:t>
      </w:r>
      <w:r>
        <w:t xml:space="preserve"> </w:t>
      </w:r>
      <w:r>
        <w:rPr>
          <w:b/>
          <w:bCs/>
        </w:rPr>
        <w:t xml:space="preserve">Prejuízo Irreparável</w:t>
      </w:r>
      <w:r>
        <w:t xml:space="preserve"> </w:t>
      </w:r>
      <w:r>
        <w:t xml:space="preserve">– A manutenção da penhora sobre a conta bancária impede o pagamento de despesas médicas e de manutenção da família do réu, bem como o cumprimento de obrigações fiscais, o que pode acarretar danos irreparáveis.</w:t>
      </w:r>
    </w:p>
    <w:p>
      <w:r>
        <w:pict>
          <v:rect style="width:0;height:1.5pt" o:hralign="center" o:hrstd="t" o:hr="t"/>
        </w:pict>
      </w:r>
    </w:p>
    <w:bookmarkEnd w:id="11"/>
    <w:bookmarkStart w:id="12" w:name="pedidos"/>
    <w:p>
      <w:pPr>
        <w:pStyle w:val="Heading4"/>
      </w:pPr>
      <w:r>
        <w:t xml:space="preserve">3.</w:t>
      </w:r>
      <w:r>
        <w:t xml:space="preserve"> </w:t>
      </w:r>
      <w:r>
        <w:rPr>
          <w:b/>
          <w:bCs/>
        </w:rPr>
        <w:t xml:space="preserve">Pedidos</w:t>
      </w:r>
    </w:p>
    <w:p>
      <w:pPr>
        <w:pStyle w:val="FirstParagraph"/>
      </w:pPr>
      <w:r>
        <w:t xml:space="preserve">Nestes termos, a defesa requer a V. Exa.: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394"/>
        <w:gridCol w:w="4525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N.º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Pedido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A</w:t>
            </w:r>
            <w:r>
              <w:t xml:space="preserve"> </w:t>
            </w:r>
            <w:r>
              <w:rPr>
                <w:b/>
                <w:bCs/>
              </w:rPr>
              <w:t xml:space="preserve">suspensão imediata</w:t>
            </w:r>
            <w:r>
              <w:t xml:space="preserve"> </w:t>
            </w:r>
            <w:r>
              <w:t xml:space="preserve">da execução da penhora sobre a conta bancária n.º PT50 1234 5678 9012 3456 7890 123, até decisão final no processo penal;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O</w:t>
            </w:r>
            <w:r>
              <w:t xml:space="preserve"> </w:t>
            </w:r>
            <w:r>
              <w:rPr>
                <w:b/>
                <w:bCs/>
              </w:rPr>
              <w:t xml:space="preserve">levantamento total</w:t>
            </w:r>
            <w:r>
              <w:t xml:space="preserve"> </w:t>
            </w:r>
            <w:r>
              <w:t xml:space="preserve">da penhora sobre o veículo</w:t>
            </w:r>
            <w:r>
              <w:t xml:space="preserve"> </w:t>
            </w:r>
            <w:r>
              <w:rPr>
                <w:b/>
                <w:bCs/>
              </w:rPr>
              <w:t xml:space="preserve">Toyota Yaris</w:t>
            </w:r>
            <w:r>
              <w:t xml:space="preserve">, matrícula 45‑AA‑12, permitindo a sua livre disposição pelo réu;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A</w:t>
            </w:r>
            <w:r>
              <w:t xml:space="preserve"> </w:t>
            </w:r>
            <w:r>
              <w:rPr>
                <w:b/>
                <w:bCs/>
              </w:rPr>
              <w:t xml:space="preserve">remissão</w:t>
            </w:r>
            <w:r>
              <w:t xml:space="preserve"> </w:t>
            </w:r>
            <w:r>
              <w:t xml:space="preserve">da penhora sobre a fração autónoma situada na Rua da Prata, 45, 1150‑262 Lisboa, com a consequente liberação do imóvel;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Caso V. Exa. entenda pela manutenção de alguma garantia, a</w:t>
            </w:r>
            <w:r>
              <w:t xml:space="preserve"> </w:t>
            </w:r>
            <w:r>
              <w:rPr>
                <w:b/>
                <w:bCs/>
              </w:rPr>
              <w:t xml:space="preserve">substituição</w:t>
            </w:r>
            <w:r>
              <w:t xml:space="preserve"> </w:t>
            </w:r>
            <w:r>
              <w:t xml:space="preserve">da penhora por caução bancária ou outro meio menos gravoso, no valor de</w:t>
            </w:r>
            <w:r>
              <w:t xml:space="preserve"> </w:t>
            </w:r>
            <w:r>
              <w:rPr>
                <w:b/>
                <w:bCs/>
              </w:rPr>
              <w:t xml:space="preserve">€35 000</w:t>
            </w:r>
            <w:r>
              <w:t xml:space="preserve">, a ser depositado em juízo;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t xml:space="preserve">A condenação do Ministério Público ao pagamento das custas e despesas processuais relacionadas com o presente requerimento, nos termos do artigo 21.º do CPC.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2"/>
    <w:bookmarkStart w:id="13" w:name="provas-que-se-pretendem-produzir"/>
    <w:p>
      <w:pPr>
        <w:pStyle w:val="Heading4"/>
      </w:pPr>
      <w:r>
        <w:t xml:space="preserve">4.</w:t>
      </w:r>
      <w:r>
        <w:t xml:space="preserve"> </w:t>
      </w:r>
      <w:r>
        <w:rPr>
          <w:b/>
          <w:bCs/>
        </w:rPr>
        <w:t xml:space="preserve">Provas que se Pretendem Produzir</w:t>
      </w:r>
    </w:p>
    <w:p>
      <w:pPr>
        <w:pStyle w:val="FirstParagraph"/>
      </w:pPr>
      <w:r>
        <w:t xml:space="preserve">4.1.</w:t>
      </w:r>
      <w:r>
        <w:t xml:space="preserve"> </w:t>
      </w:r>
      <w:r>
        <w:rPr>
          <w:b/>
          <w:bCs/>
        </w:rPr>
        <w:t xml:space="preserve">Documental</w:t>
      </w:r>
      <w:r>
        <w:t xml:space="preserve"> </w:t>
      </w:r>
      <w:r>
        <w:t xml:space="preserve">– Extratos bancários da conta penhorada (janeiro a dezembro de 2025); declaração de rendimentos (IRS 2024); comprovativos de residência e despesas familiares.</w:t>
      </w:r>
    </w:p>
    <w:p>
      <w:pPr>
        <w:pStyle w:val="BodyText"/>
      </w:pPr>
      <w:r>
        <w:t xml:space="preserve">4.2.</w:t>
      </w:r>
      <w:r>
        <w:t xml:space="preserve"> </w:t>
      </w:r>
      <w:r>
        <w:rPr>
          <w:b/>
          <w:bCs/>
        </w:rPr>
        <w:t xml:space="preserve">Testemunhal</w:t>
      </w:r>
      <w:r>
        <w:t xml:space="preserve"> </w:t>
      </w:r>
      <w:r>
        <w:t xml:space="preserve">– Oitiva da esposa do réu, Sra.</w:t>
      </w:r>
      <w:r>
        <w:t xml:space="preserve"> </w:t>
      </w:r>
      <w:r>
        <w:rPr>
          <w:b/>
          <w:bCs/>
        </w:rPr>
        <w:t xml:space="preserve">Cláudia Mendes</w:t>
      </w:r>
      <w:r>
        <w:t xml:space="preserve">, residente na mesma morada, para atestar a situação económica e a inexistência de risco de dissipação de bens.</w:t>
      </w:r>
    </w:p>
    <w:p>
      <w:pPr>
        <w:pStyle w:val="BodyText"/>
      </w:pPr>
      <w:r>
        <w:t xml:space="preserve">4.3.</w:t>
      </w:r>
      <w:r>
        <w:t xml:space="preserve"> </w:t>
      </w:r>
      <w:r>
        <w:rPr>
          <w:b/>
          <w:bCs/>
        </w:rPr>
        <w:t xml:space="preserve">Pericial</w:t>
      </w:r>
      <w:r>
        <w:t xml:space="preserve"> </w:t>
      </w:r>
      <w:r>
        <w:t xml:space="preserve">– Avaliação pericial atualizada do imóvel e do veículo, para confirmar os valores declarados e a inexistência de sobrevalorização que justifique a penhora.</w:t>
      </w:r>
    </w:p>
    <w:p>
      <w:r>
        <w:pict>
          <v:rect style="width:0;height:1.5pt" o:hralign="center" o:hrstd="t" o:hr="t"/>
        </w:pict>
      </w:r>
    </w:p>
    <w:bookmarkEnd w:id="13"/>
    <w:bookmarkStart w:id="14" w:name="conclusão"/>
    <w:p>
      <w:pPr>
        <w:pStyle w:val="Heading4"/>
      </w:pPr>
      <w:r>
        <w:t xml:space="preserve">5.</w:t>
      </w:r>
      <w:r>
        <w:t xml:space="preserve"> </w:t>
      </w:r>
      <w:r>
        <w:rPr>
          <w:b/>
          <w:bCs/>
        </w:rPr>
        <w:t xml:space="preserve">Conclusão</w:t>
      </w:r>
    </w:p>
    <w:p>
      <w:pPr>
        <w:pStyle w:val="FirstParagraph"/>
      </w:pPr>
      <w:r>
        <w:t xml:space="preserve">Dada a</w:t>
      </w:r>
      <w:r>
        <w:t xml:space="preserve"> </w:t>
      </w:r>
      <w:r>
        <w:rPr>
          <w:b/>
          <w:bCs/>
        </w:rPr>
        <w:t xml:space="preserve">ausência de risco concreto de fuga de bens</w:t>
      </w:r>
      <w:r>
        <w:t xml:space="preserve">, a</w:t>
      </w:r>
      <w:r>
        <w:t xml:space="preserve"> </w:t>
      </w:r>
      <w:r>
        <w:rPr>
          <w:b/>
          <w:bCs/>
        </w:rPr>
        <w:t xml:space="preserve">desproporcionalidade</w:t>
      </w:r>
      <w:r>
        <w:t xml:space="preserve"> </w:t>
      </w:r>
      <w:r>
        <w:t xml:space="preserve">da medida constritiva e o</w:t>
      </w:r>
      <w:r>
        <w:t xml:space="preserve"> </w:t>
      </w:r>
      <w:r>
        <w:rPr>
          <w:b/>
          <w:bCs/>
        </w:rPr>
        <w:t xml:space="preserve">direito constitucional à presunção de inocência</w:t>
      </w:r>
      <w:r>
        <w:t xml:space="preserve">, requer-se a concessão do</w:t>
      </w:r>
      <w:r>
        <w:t xml:space="preserve"> </w:t>
      </w:r>
      <w:r>
        <w:rPr>
          <w:b/>
          <w:bCs/>
        </w:rPr>
        <w:t xml:space="preserve">levantamento da penhora</w:t>
      </w:r>
      <w:r>
        <w:t xml:space="preserve"> </w:t>
      </w:r>
      <w:r>
        <w:t xml:space="preserve">nos termos acima especificados, de forma a salvaguardar os direitos fundamentais do réu e a evitar prejuízos desnecessários.</w:t>
      </w:r>
    </w:p>
    <w:p>
      <w:pPr>
        <w:pStyle w:val="BodyText"/>
      </w:pPr>
      <w:r>
        <w:t xml:space="preserve">Nestes termos, pede deferimento.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Lisboa, 15 de fevereiro de 2026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Dr.ª Ana Pereira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Dr. Luís Carvalho</w:t>
            </w:r>
          </w:p>
        </w:tc>
      </w:tr>
      <w:tr>
        <w:tc>
          <w:tcPr/>
          <w:p>
            <w:pPr>
              <w:pStyle w:val="Compact"/>
            </w:pPr>
            <w:r>
              <w:t xml:space="preserve">Advogada – OAB 12345</w:t>
            </w:r>
          </w:p>
        </w:tc>
        <w:tc>
          <w:tcPr/>
          <w:p>
            <w:pPr>
              <w:pStyle w:val="Compact"/>
            </w:pPr>
            <w:r>
              <w:t xml:space="preserve">Advogado – OAB 67890</w:t>
            </w:r>
          </w:p>
        </w:tc>
      </w:tr>
      <w:tr>
        <w:tc>
          <w:tcPr/>
          <w:p>
            <w:pPr>
              <w:pStyle w:val="Compact"/>
            </w:pPr>
            <w:r>
              <w:t xml:space="preserve">NIF 987 654 321</w:t>
            </w:r>
          </w:p>
        </w:tc>
        <w:tc>
          <w:tcPr/>
          <w:p>
            <w:pPr>
              <w:pStyle w:val="Compact"/>
            </w:pPr>
            <w:r>
              <w:t xml:space="preserve">NIF 112 233 445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Assinatura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Assinatura</w:t>
            </w:r>
          </w:p>
        </w:tc>
      </w:tr>
    </w:tbl>
    <w:bookmarkEnd w:id="14"/>
    <w:bookmarkEnd w:id="15"/>
    <w:bookmarkEnd w:id="16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2026-02-22T19:01:58Z</dcterms:created>
  <dcterms:modified xsi:type="dcterms:W3CDTF">2026-02-22T19:01:58Z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